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Roboto" w:cs="Roboto" w:eastAsia="Roboto" w:hAnsi="Roboto"/>
          <w:b w:val="1"/>
          <w:bCs w:val="1"/>
          <w:sz w:val="36"/>
          <w:szCs w:val="36"/>
        </w:rPr>
      </w:pPr>
      <w:r w:rsidDel="00000000" w:rsidR="00000000" w:rsidRPr="00000000">
        <w:rPr>
          <w:rFonts w:ascii="Roboto" w:cs="Roboto" w:eastAsia="Roboto" w:hAnsi="Roboto"/>
          <w:b w:val="1"/>
          <w:bCs w:val="1"/>
          <w:sz w:val="36"/>
          <w:szCs w:val="36"/>
          <w:rtl w:val="0"/>
        </w:rPr>
        <w:t xml:space="preserve">Mali</w:t>
      </w:r>
    </w:p>
    <w:p w:rsidR="00000000" w:rsidDel="00000000" w:rsidP="00000000" w:rsidRDefault="00000000" w:rsidRPr="00000000" w14:paraId="00000002">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Transboundary Controls, Artisanal Mining Waste, and Institutional Coordination under the Bamako Convention</w:t>
      </w:r>
    </w:p>
    <w:p w:rsidR="00000000" w:rsidDel="00000000" w:rsidP="00000000" w:rsidRDefault="00000000" w:rsidRPr="00000000" w14:paraId="00000003">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Status under the Convention</w:t>
      </w:r>
    </w:p>
    <w:p w:rsidR="00000000" w:rsidDel="00000000" w:rsidP="00000000" w:rsidRDefault="00000000" w:rsidRPr="00000000" w14:paraId="00000004">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Mali </w:t>
      </w:r>
      <w:r w:rsidDel="00000000" w:rsidR="00000000" w:rsidRPr="00000000">
        <w:rPr>
          <w:rFonts w:ascii="Roboto" w:cs="Roboto" w:eastAsia="Roboto" w:hAnsi="Roboto"/>
          <w:b w:val="1"/>
          <w:bCs w:val="1"/>
          <w:rtl w:val="0"/>
        </w:rPr>
        <w:t xml:space="preserve">signed</w:t>
      </w:r>
      <w:r w:rsidDel="00000000" w:rsidR="00000000" w:rsidRPr="00000000">
        <w:rPr>
          <w:rFonts w:ascii="Roboto" w:cs="Roboto" w:eastAsia="Roboto" w:hAnsi="Roboto"/>
          <w:rtl w:val="0"/>
        </w:rPr>
        <w:t xml:space="preserve"> the </w:t>
      </w:r>
      <w:r w:rsidDel="00000000" w:rsidR="00000000" w:rsidRPr="00000000">
        <w:rPr>
          <w:rFonts w:ascii="Roboto" w:cs="Roboto" w:eastAsia="Roboto" w:hAnsi="Roboto"/>
          <w:b w:val="1"/>
          <w:bCs w:val="1"/>
          <w:rtl w:val="0"/>
        </w:rPr>
        <w:t xml:space="preserve">Bamako Convention on the Ban of the Import into Africa and the Control of Transboundary Movement and Management of Hazardous Wastes within Africa</w:t>
      </w:r>
      <w:r w:rsidDel="00000000" w:rsidR="00000000" w:rsidRPr="00000000">
        <w:rPr>
          <w:rFonts w:ascii="Roboto" w:cs="Roboto" w:eastAsia="Roboto" w:hAnsi="Roboto"/>
          <w:rtl w:val="0"/>
        </w:rPr>
        <w:t xml:space="preserve"> on </w:t>
      </w:r>
      <w:r w:rsidDel="00000000" w:rsidR="00000000" w:rsidRPr="00000000">
        <w:rPr>
          <w:rFonts w:ascii="Roboto" w:cs="Roboto" w:eastAsia="Roboto" w:hAnsi="Roboto"/>
          <w:b w:val="1"/>
          <w:bCs w:val="1"/>
          <w:rtl w:val="0"/>
        </w:rPr>
        <w:t xml:space="preserve">29 January 1991</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ratified</w:t>
      </w:r>
      <w:r w:rsidDel="00000000" w:rsidR="00000000" w:rsidRPr="00000000">
        <w:rPr>
          <w:rFonts w:ascii="Roboto" w:cs="Roboto" w:eastAsia="Roboto" w:hAnsi="Roboto"/>
          <w:rtl w:val="0"/>
        </w:rPr>
        <w:t xml:space="preserve"> it on </w:t>
      </w:r>
      <w:r w:rsidDel="00000000" w:rsidR="00000000" w:rsidRPr="00000000">
        <w:rPr>
          <w:rFonts w:ascii="Roboto" w:cs="Roboto" w:eastAsia="Roboto" w:hAnsi="Roboto"/>
          <w:b w:val="1"/>
          <w:bCs w:val="1"/>
          <w:rtl w:val="0"/>
        </w:rPr>
        <w:t xml:space="preserve">30 May 1994</w:t>
      </w:r>
      <w:r w:rsidDel="00000000" w:rsidR="00000000" w:rsidRPr="00000000">
        <w:rPr>
          <w:rFonts w:ascii="Roboto" w:cs="Roboto" w:eastAsia="Roboto" w:hAnsi="Roboto"/>
          <w:rtl w:val="0"/>
        </w:rPr>
        <w:t xml:space="preserve">. Ratification commits Mali to prohibit hazardous and radioactive waste imports, regulate hazardous waste generated domestically, designate competent authorities and focal points, and share verified information with the Convention Secretariat for compliance monitoring and regional coordination.</w:t>
        <w:br w:type="textWrapping"/>
        <w:t xml:space="preserve">Official source: </w:t>
      </w:r>
      <w:hyperlink r:id="rId7">
        <w:r w:rsidDel="00000000" w:rsidR="00000000" w:rsidRPr="00000000">
          <w:rPr>
            <w:rFonts w:ascii="Roboto" w:cs="Roboto" w:eastAsia="Roboto" w:hAnsi="Roboto"/>
            <w:color w:val="0000ff"/>
            <w:u w:val="single"/>
            <w:rtl w:val="0"/>
          </w:rPr>
          <w:t xml:space="preserve">https://www.bamakoconvention.org/parties-to-the-convention/</w:t>
        </w:r>
      </w:hyperlink>
      <w:r w:rsidDel="00000000" w:rsidR="00000000" w:rsidRPr="00000000">
        <w:rPr>
          <w:rtl w:val="0"/>
        </w:rPr>
      </w:r>
    </w:p>
    <w:p w:rsidR="00000000" w:rsidDel="00000000" w:rsidP="00000000" w:rsidRDefault="00000000" w:rsidRPr="00000000" w14:paraId="00000005">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National Context and Hazardous Waste Risk Profile</w:t>
      </w:r>
    </w:p>
    <w:p w:rsidR="00000000" w:rsidDel="00000000" w:rsidP="00000000" w:rsidRDefault="00000000" w:rsidRPr="00000000" w14:paraId="00000006">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Mali is a </w:t>
      </w:r>
      <w:r w:rsidDel="00000000" w:rsidR="00000000" w:rsidRPr="00000000">
        <w:rPr>
          <w:rFonts w:ascii="Roboto" w:cs="Roboto" w:eastAsia="Roboto" w:hAnsi="Roboto"/>
          <w:b w:val="1"/>
          <w:bCs w:val="1"/>
          <w:rtl w:val="0"/>
        </w:rPr>
        <w:t xml:space="preserve">landlocked Sahelian country</w:t>
      </w:r>
      <w:r w:rsidDel="00000000" w:rsidR="00000000" w:rsidRPr="00000000">
        <w:rPr>
          <w:rFonts w:ascii="Roboto" w:cs="Roboto" w:eastAsia="Roboto" w:hAnsi="Roboto"/>
          <w:rtl w:val="0"/>
        </w:rPr>
        <w:t xml:space="preserve"> with hazardous waste risks driven largely by </w:t>
      </w:r>
      <w:r w:rsidDel="00000000" w:rsidR="00000000" w:rsidRPr="00000000">
        <w:rPr>
          <w:rFonts w:ascii="Roboto" w:cs="Roboto" w:eastAsia="Roboto" w:hAnsi="Roboto"/>
          <w:b w:val="1"/>
          <w:bCs w:val="1"/>
          <w:rtl w:val="0"/>
        </w:rPr>
        <w:t xml:space="preserve">artisanal and industrial gold mining</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fuel and oil handling</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healthcare waste</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imported chemicals</w:t>
      </w:r>
      <w:r w:rsidDel="00000000" w:rsidR="00000000" w:rsidRPr="00000000">
        <w:rPr>
          <w:rFonts w:ascii="Roboto" w:cs="Roboto" w:eastAsia="Roboto" w:hAnsi="Roboto"/>
          <w:rtl w:val="0"/>
        </w:rPr>
        <w:t xml:space="preserve"> transiting regional corridors. As one of Africa’s leading gold producers, Mali generates hazardous waste streams linked to </w:t>
      </w:r>
      <w:r w:rsidDel="00000000" w:rsidR="00000000" w:rsidRPr="00000000">
        <w:rPr>
          <w:rFonts w:ascii="Roboto" w:cs="Roboto" w:eastAsia="Roboto" w:hAnsi="Roboto"/>
          <w:b w:val="1"/>
          <w:bCs w:val="1"/>
          <w:rtl w:val="0"/>
        </w:rPr>
        <w:t xml:space="preserve">mercury</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cyanide</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tailings</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used industrial chemicals</w:t>
      </w:r>
      <w:r w:rsidDel="00000000" w:rsidR="00000000" w:rsidRPr="00000000">
        <w:rPr>
          <w:rFonts w:ascii="Roboto" w:cs="Roboto" w:eastAsia="Roboto" w:hAnsi="Roboto"/>
          <w:rtl w:val="0"/>
        </w:rPr>
        <w:t xml:space="preserve">, particularly in mining zones in </w:t>
      </w:r>
      <w:r w:rsidDel="00000000" w:rsidR="00000000" w:rsidRPr="00000000">
        <w:rPr>
          <w:rFonts w:ascii="Roboto" w:cs="Roboto" w:eastAsia="Roboto" w:hAnsi="Roboto"/>
          <w:b w:val="1"/>
          <w:bCs w:val="1"/>
          <w:rtl w:val="0"/>
        </w:rPr>
        <w:t xml:space="preserve">the Kayes,</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Sikasso</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Koulikoro regions</w:t>
      </w:r>
      <w:r w:rsidDel="00000000" w:rsidR="00000000" w:rsidRPr="00000000">
        <w:rPr>
          <w:rFonts w:ascii="Roboto" w:cs="Roboto" w:eastAsia="Roboto" w:hAnsi="Roboto"/>
          <w:rtl w:val="0"/>
        </w:rPr>
        <w:t xml:space="preserve">.</w:t>
      </w:r>
    </w:p>
    <w:p w:rsidR="00000000" w:rsidDel="00000000" w:rsidP="00000000" w:rsidRDefault="00000000" w:rsidRPr="00000000" w14:paraId="00000007">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Additional waste streams include </w:t>
      </w:r>
      <w:r w:rsidDel="00000000" w:rsidR="00000000" w:rsidRPr="00000000">
        <w:rPr>
          <w:rFonts w:ascii="Roboto" w:cs="Roboto" w:eastAsia="Roboto" w:hAnsi="Roboto"/>
          <w:b w:val="1"/>
          <w:bCs w:val="1"/>
          <w:rtl w:val="0"/>
        </w:rPr>
        <w:t xml:space="preserve">obsolete pesticides</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used oils</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batteries</w:t>
      </w:r>
      <w:r w:rsidDel="00000000" w:rsidR="00000000" w:rsidRPr="00000000">
        <w:rPr>
          <w:rFonts w:ascii="Roboto" w:cs="Roboto" w:eastAsia="Roboto" w:hAnsi="Roboto"/>
          <w:rtl w:val="0"/>
        </w:rPr>
        <w:t xml:space="preserve">, </w:t>
      </w:r>
      <w:r w:rsidDel="00000000" w:rsidR="00000000" w:rsidRPr="00000000">
        <w:rPr>
          <w:rFonts w:ascii="Roboto" w:cs="Roboto" w:eastAsia="Roboto" w:hAnsi="Roboto"/>
          <w:b w:val="1"/>
          <w:bCs w:val="1"/>
          <w:rtl w:val="0"/>
        </w:rPr>
        <w:t xml:space="preserve">medical waste</w:t>
      </w:r>
      <w:r w:rsidDel="00000000" w:rsidR="00000000" w:rsidRPr="00000000">
        <w:rPr>
          <w:rFonts w:ascii="Roboto" w:cs="Roboto" w:eastAsia="Roboto" w:hAnsi="Roboto"/>
          <w:rtl w:val="0"/>
        </w:rPr>
        <w:t xml:space="preserve">, and </w:t>
      </w:r>
      <w:r w:rsidDel="00000000" w:rsidR="00000000" w:rsidRPr="00000000">
        <w:rPr>
          <w:rFonts w:ascii="Roboto" w:cs="Roboto" w:eastAsia="Roboto" w:hAnsi="Roboto"/>
          <w:b w:val="1"/>
          <w:bCs w:val="1"/>
          <w:rtl w:val="0"/>
        </w:rPr>
        <w:t xml:space="preserve">electronic waste</w:t>
      </w:r>
      <w:r w:rsidDel="00000000" w:rsidR="00000000" w:rsidRPr="00000000">
        <w:rPr>
          <w:rFonts w:ascii="Roboto" w:cs="Roboto" w:eastAsia="Roboto" w:hAnsi="Roboto"/>
          <w:rtl w:val="0"/>
        </w:rPr>
        <w:t xml:space="preserve">, often managed in settings with limited infrastructure.</w:t>
      </w:r>
    </w:p>
    <w:p w:rsidR="00000000" w:rsidDel="00000000" w:rsidP="00000000" w:rsidRDefault="00000000" w:rsidRPr="00000000" w14:paraId="00000008">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Institutional and Legal Framework</w:t>
      </w:r>
    </w:p>
    <w:p w:rsidR="00000000" w:rsidDel="00000000" w:rsidP="00000000" w:rsidRDefault="00000000" w:rsidRPr="00000000" w14:paraId="00000009">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Environmental governance in Mali is overseen by the </w:t>
      </w:r>
      <w:r w:rsidDel="00000000" w:rsidR="00000000" w:rsidRPr="00000000">
        <w:rPr>
          <w:rFonts w:ascii="Roboto" w:cs="Roboto" w:eastAsia="Roboto" w:hAnsi="Roboto"/>
          <w:b w:val="1"/>
          <w:bCs w:val="1"/>
          <w:rtl w:val="0"/>
        </w:rPr>
        <w:t xml:space="preserve">Ministry of Environment, Sanitation and Sustainable Development</w:t>
      </w:r>
      <w:r w:rsidDel="00000000" w:rsidR="00000000" w:rsidRPr="00000000">
        <w:rPr>
          <w:rFonts w:ascii="Roboto" w:cs="Roboto" w:eastAsia="Roboto" w:hAnsi="Roboto"/>
          <w:rtl w:val="0"/>
        </w:rPr>
        <w:t xml:space="preserve">, through agencies including the </w:t>
      </w:r>
      <w:r w:rsidDel="00000000" w:rsidR="00000000" w:rsidRPr="00000000">
        <w:rPr>
          <w:rFonts w:ascii="Roboto" w:cs="Roboto" w:eastAsia="Roboto" w:hAnsi="Roboto"/>
          <w:b w:val="1"/>
          <w:bCs w:val="1"/>
          <w:rtl w:val="0"/>
        </w:rPr>
        <w:t xml:space="preserve">National Directorate of Sanitation, Pollution and Nuisance Control (DNACPN)</w:t>
      </w:r>
      <w:r w:rsidDel="00000000" w:rsidR="00000000" w:rsidRPr="00000000">
        <w:rPr>
          <w:rFonts w:ascii="Roboto" w:cs="Roboto" w:eastAsia="Roboto" w:hAnsi="Roboto"/>
          <w:rtl w:val="0"/>
        </w:rPr>
        <w:t xml:space="preserve">.</w:t>
        <w:br w:type="textWrapping"/>
        <w:t xml:space="preserve">Reference: </w:t>
      </w:r>
      <w:hyperlink r:id="rId8">
        <w:r w:rsidDel="00000000" w:rsidR="00000000" w:rsidRPr="00000000">
          <w:rPr>
            <w:rFonts w:ascii="Roboto" w:cs="Roboto" w:eastAsia="Roboto" w:hAnsi="Roboto"/>
            <w:color w:val="0000ff"/>
            <w:u w:val="single"/>
            <w:rtl w:val="0"/>
          </w:rPr>
          <w:t xml:space="preserve">http://www.environnement.gouv.ml/</w:t>
        </w:r>
      </w:hyperlink>
      <w:r w:rsidDel="00000000" w:rsidR="00000000" w:rsidRPr="00000000">
        <w:rPr>
          <w:rtl w:val="0"/>
        </w:rPr>
      </w:r>
    </w:p>
    <w:p w:rsidR="00000000" w:rsidDel="00000000" w:rsidP="00000000" w:rsidRDefault="00000000" w:rsidRPr="00000000" w14:paraId="0000000A">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Key legal instruments include:</w:t>
      </w:r>
    </w:p>
    <w:p w:rsidR="00000000" w:rsidDel="00000000" w:rsidP="00000000" w:rsidRDefault="00000000" w:rsidRPr="00000000" w14:paraId="0000000B">
      <w:pPr>
        <w:numPr>
          <w:ilvl w:val="0"/>
          <w:numId w:val="1"/>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The </w:t>
      </w:r>
      <w:r w:rsidDel="00000000" w:rsidR="00000000" w:rsidRPr="00000000">
        <w:rPr>
          <w:rFonts w:ascii="Roboto" w:cs="Roboto" w:eastAsia="Roboto" w:hAnsi="Roboto"/>
          <w:b w:val="1"/>
          <w:bCs w:val="1"/>
          <w:rtl w:val="0"/>
        </w:rPr>
        <w:t xml:space="preserve">Environmental Protection and Pollution Control Law</w:t>
      </w:r>
      <w:r w:rsidDel="00000000" w:rsidR="00000000" w:rsidRPr="00000000">
        <w:rPr>
          <w:rtl w:val="0"/>
        </w:rPr>
      </w:r>
    </w:p>
    <w:p w:rsidR="00000000" w:rsidDel="00000000" w:rsidP="00000000" w:rsidRDefault="00000000" w:rsidRPr="00000000" w14:paraId="0000000C">
      <w:pPr>
        <w:numPr>
          <w:ilvl w:val="0"/>
          <w:numId w:val="1"/>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Mining regulations governing hazardous substances</w:t>
      </w:r>
    </w:p>
    <w:p w:rsidR="00000000" w:rsidDel="00000000" w:rsidP="00000000" w:rsidRDefault="00000000" w:rsidRPr="00000000" w14:paraId="0000000D">
      <w:pPr>
        <w:numPr>
          <w:ilvl w:val="0"/>
          <w:numId w:val="1"/>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Environmental Impact Assessment requirements for extractive industries</w:t>
      </w:r>
    </w:p>
    <w:p w:rsidR="00000000" w:rsidDel="00000000" w:rsidP="00000000" w:rsidRDefault="00000000" w:rsidRPr="00000000" w14:paraId="0000000E">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Customs services, mining authorities, and environmental inspectors are jointly responsible for controlling hazardous materials.</w:t>
      </w:r>
    </w:p>
    <w:p w:rsidR="00000000" w:rsidDel="00000000" w:rsidP="00000000" w:rsidRDefault="00000000" w:rsidRPr="00000000" w14:paraId="0000000F">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Incidents, Policy Debates, and Governance Experience</w:t>
      </w:r>
    </w:p>
    <w:p w:rsidR="00000000" w:rsidDel="00000000" w:rsidP="00000000" w:rsidRDefault="00000000" w:rsidRPr="00000000" w14:paraId="00000010">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Mali has not recorded a high-profile international toxic dumping case comparable to Koko (Nigeria) or Probo Koala (Côte d’Ivoire). However, </w:t>
      </w:r>
      <w:r w:rsidDel="00000000" w:rsidR="00000000" w:rsidRPr="00000000">
        <w:rPr>
          <w:rFonts w:ascii="Roboto" w:cs="Roboto" w:eastAsia="Roboto" w:hAnsi="Roboto"/>
          <w:b w:val="1"/>
          <w:bCs w:val="1"/>
          <w:rtl w:val="0"/>
        </w:rPr>
        <w:t xml:space="preserve">domestic hazardous waste challenges</w:t>
      </w:r>
      <w:r w:rsidDel="00000000" w:rsidR="00000000" w:rsidRPr="00000000">
        <w:rPr>
          <w:rFonts w:ascii="Roboto" w:cs="Roboto" w:eastAsia="Roboto" w:hAnsi="Roboto"/>
          <w:rtl w:val="0"/>
        </w:rPr>
        <w:t xml:space="preserve"> squarely fall within the Bamako Convention’s scope:</w:t>
      </w:r>
    </w:p>
    <w:p w:rsidR="00000000" w:rsidDel="00000000" w:rsidP="00000000" w:rsidRDefault="00000000" w:rsidRPr="00000000" w14:paraId="00000011">
      <w:pPr>
        <w:numPr>
          <w:ilvl w:val="0"/>
          <w:numId w:val="2"/>
        </w:numPr>
        <w:spacing w:after="0" w:before="28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The use of mercury in artisanal gold mining has been documented since the 1990s, raising significant concerns for both environmental and public health</w:t>
      </w:r>
      <w:r w:rsidDel="00000000" w:rsidR="00000000" w:rsidRPr="00000000">
        <w:rPr>
          <w:rFonts w:ascii="Roboto" w:cs="Roboto" w:eastAsia="Roboto" w:hAnsi="Roboto"/>
          <w:rtl w:val="0"/>
        </w:rPr>
        <w:t xml:space="preserve">. Government-led programmes between </w:t>
      </w:r>
      <w:r w:rsidDel="00000000" w:rsidR="00000000" w:rsidRPr="00000000">
        <w:rPr>
          <w:rFonts w:ascii="Roboto" w:cs="Roboto" w:eastAsia="Roboto" w:hAnsi="Roboto"/>
          <w:b w:val="1"/>
          <w:bCs w:val="1"/>
          <w:rtl w:val="0"/>
        </w:rPr>
        <w:t xml:space="preserve">2011 and 2019</w:t>
      </w:r>
      <w:r w:rsidDel="00000000" w:rsidR="00000000" w:rsidRPr="00000000">
        <w:rPr>
          <w:rFonts w:ascii="Roboto" w:cs="Roboto" w:eastAsia="Roboto" w:hAnsi="Roboto"/>
          <w:rtl w:val="0"/>
        </w:rPr>
        <w:t xml:space="preserve">, supported by UNEP and partners, sought to reduce mercury use and promote safer practices.</w:t>
      </w:r>
    </w:p>
    <w:p w:rsidR="00000000" w:rsidDel="00000000" w:rsidP="00000000" w:rsidRDefault="00000000" w:rsidRPr="00000000" w14:paraId="00000012">
      <w:pPr>
        <w:numPr>
          <w:ilvl w:val="0"/>
          <w:numId w:val="2"/>
        </w:numPr>
        <w:spacing w:after="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Cyanide incidents and tailings management</w:t>
      </w:r>
      <w:r w:rsidDel="00000000" w:rsidR="00000000" w:rsidRPr="00000000">
        <w:rPr>
          <w:rFonts w:ascii="Roboto" w:cs="Roboto" w:eastAsia="Roboto" w:hAnsi="Roboto"/>
          <w:rtl w:val="0"/>
        </w:rPr>
        <w:t xml:space="preserve"> in industrial mining have prompted regulatory scrutiny, including environmental audits and the development of corrective action plans.</w:t>
      </w:r>
    </w:p>
    <w:p w:rsidR="00000000" w:rsidDel="00000000" w:rsidP="00000000" w:rsidRDefault="00000000" w:rsidRPr="00000000" w14:paraId="00000013">
      <w:pPr>
        <w:numPr>
          <w:ilvl w:val="0"/>
          <w:numId w:val="2"/>
        </w:numPr>
        <w:spacing w:after="280" w:before="0" w:line="240" w:lineRule="auto"/>
        <w:ind w:left="720" w:hanging="360"/>
        <w:rPr>
          <w:rFonts w:ascii="Roboto" w:cs="Roboto" w:eastAsia="Roboto" w:hAnsi="Roboto"/>
        </w:rPr>
      </w:pPr>
      <w:r w:rsidDel="00000000" w:rsidR="00000000" w:rsidRPr="00000000">
        <w:rPr>
          <w:rFonts w:ascii="Roboto" w:cs="Roboto" w:eastAsia="Roboto" w:hAnsi="Roboto"/>
          <w:b w:val="1"/>
          <w:bCs w:val="1"/>
          <w:rtl w:val="0"/>
        </w:rPr>
        <w:t xml:space="preserve">Obsolete pesticide stockpiles</w:t>
      </w:r>
      <w:r w:rsidDel="00000000" w:rsidR="00000000" w:rsidRPr="00000000">
        <w:rPr>
          <w:rFonts w:ascii="Roboto" w:cs="Roboto" w:eastAsia="Roboto" w:hAnsi="Roboto"/>
          <w:rtl w:val="0"/>
        </w:rPr>
        <w:t xml:space="preserve">, identified during FAO-supported inventories in the </w:t>
      </w:r>
      <w:r w:rsidDel="00000000" w:rsidR="00000000" w:rsidRPr="00000000">
        <w:rPr>
          <w:rFonts w:ascii="Roboto" w:cs="Roboto" w:eastAsia="Roboto" w:hAnsi="Roboto"/>
          <w:b w:val="1"/>
          <w:bCs w:val="1"/>
          <w:rtl w:val="0"/>
        </w:rPr>
        <w:t xml:space="preserve">2000s</w:t>
      </w:r>
      <w:r w:rsidDel="00000000" w:rsidR="00000000" w:rsidRPr="00000000">
        <w:rPr>
          <w:rFonts w:ascii="Roboto" w:cs="Roboto" w:eastAsia="Roboto" w:hAnsi="Roboto"/>
          <w:rtl w:val="0"/>
        </w:rPr>
        <w:t xml:space="preserve">, required secure containment and disposal.</w:t>
      </w:r>
    </w:p>
    <w:p w:rsidR="00000000" w:rsidDel="00000000" w:rsidP="00000000" w:rsidRDefault="00000000" w:rsidRPr="00000000" w14:paraId="00000014">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These issues have prompted national dialogue on chemical controls and cross-sector coordination.</w:t>
      </w:r>
    </w:p>
    <w:p w:rsidR="00000000" w:rsidDel="00000000" w:rsidP="00000000" w:rsidRDefault="00000000" w:rsidRPr="00000000" w14:paraId="00000015">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Alignment with Bamako Convention Obligations</w:t>
      </w:r>
    </w:p>
    <w:p w:rsidR="00000000" w:rsidDel="00000000" w:rsidP="00000000" w:rsidRDefault="00000000" w:rsidRPr="00000000" w14:paraId="00000016">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Mali’s framework aligns with the Convention through:</w:t>
      </w:r>
    </w:p>
    <w:p w:rsidR="00000000" w:rsidDel="00000000" w:rsidP="00000000" w:rsidRDefault="00000000" w:rsidRPr="00000000" w14:paraId="00000017">
      <w:pPr>
        <w:numPr>
          <w:ilvl w:val="0"/>
          <w:numId w:val="3"/>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Legal prohibition of hazardous waste imports</w:t>
      </w:r>
    </w:p>
    <w:p w:rsidR="00000000" w:rsidDel="00000000" w:rsidP="00000000" w:rsidRDefault="00000000" w:rsidRPr="00000000" w14:paraId="00000018">
      <w:pPr>
        <w:numPr>
          <w:ilvl w:val="0"/>
          <w:numId w:val="3"/>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Environmental licensing and monitoring of hazardous activities</w:t>
      </w:r>
    </w:p>
    <w:p w:rsidR="00000000" w:rsidDel="00000000" w:rsidP="00000000" w:rsidRDefault="00000000" w:rsidRPr="00000000" w14:paraId="00000019">
      <w:pPr>
        <w:numPr>
          <w:ilvl w:val="0"/>
          <w:numId w:val="3"/>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Mining-specific waste control provisions</w:t>
      </w:r>
    </w:p>
    <w:p w:rsidR="00000000" w:rsidDel="00000000" w:rsidP="00000000" w:rsidRDefault="00000000" w:rsidRPr="00000000" w14:paraId="0000001A">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However, </w:t>
      </w:r>
      <w:r w:rsidDel="00000000" w:rsidR="00000000" w:rsidRPr="00000000">
        <w:rPr>
          <w:rFonts w:ascii="Roboto" w:cs="Roboto" w:eastAsia="Roboto" w:hAnsi="Roboto"/>
          <w:b w:val="1"/>
          <w:bCs w:val="1"/>
          <w:rtl w:val="0"/>
        </w:rPr>
        <w:t xml:space="preserve">routine national reporting on hazardous waste generation, movement, and enforcement outcomes remains fragmented</w:t>
      </w:r>
      <w:r w:rsidDel="00000000" w:rsidR="00000000" w:rsidRPr="00000000">
        <w:rPr>
          <w:rFonts w:ascii="Roboto" w:cs="Roboto" w:eastAsia="Roboto" w:hAnsi="Roboto"/>
          <w:rtl w:val="0"/>
        </w:rPr>
        <w:t xml:space="preserve">, limiting systematic contribution to regional oversight mechanisms.</w:t>
      </w:r>
    </w:p>
    <w:p w:rsidR="00000000" w:rsidDel="00000000" w:rsidP="00000000" w:rsidRDefault="00000000" w:rsidRPr="00000000" w14:paraId="0000001B">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Actions Taken and Opportunities for Strengthening</w:t>
      </w:r>
    </w:p>
    <w:p w:rsidR="00000000" w:rsidDel="00000000" w:rsidP="00000000" w:rsidRDefault="00000000" w:rsidRPr="00000000" w14:paraId="0000001C">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Actions taken include:</w:t>
      </w:r>
    </w:p>
    <w:p w:rsidR="00000000" w:rsidDel="00000000" w:rsidP="00000000" w:rsidRDefault="00000000" w:rsidRPr="00000000" w14:paraId="0000001D">
      <w:pPr>
        <w:numPr>
          <w:ilvl w:val="0"/>
          <w:numId w:val="4"/>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Regulation of hazardous substances in mining</w:t>
      </w:r>
    </w:p>
    <w:p w:rsidR="00000000" w:rsidDel="00000000" w:rsidP="00000000" w:rsidRDefault="00000000" w:rsidRPr="00000000" w14:paraId="0000001E">
      <w:pPr>
        <w:numPr>
          <w:ilvl w:val="0"/>
          <w:numId w:val="4"/>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Participation in regional chemical management initiatives</w:t>
      </w:r>
    </w:p>
    <w:p w:rsidR="00000000" w:rsidDel="00000000" w:rsidP="00000000" w:rsidRDefault="00000000" w:rsidRPr="00000000" w14:paraId="0000001F">
      <w:pPr>
        <w:numPr>
          <w:ilvl w:val="0"/>
          <w:numId w:val="4"/>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Environmental audits of high-risk sectors</w:t>
      </w:r>
    </w:p>
    <w:p w:rsidR="00000000" w:rsidDel="00000000" w:rsidP="00000000" w:rsidRDefault="00000000" w:rsidRPr="00000000" w14:paraId="00000020">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Further opportunities include:</w:t>
      </w:r>
    </w:p>
    <w:p w:rsidR="00000000" w:rsidDel="00000000" w:rsidP="00000000" w:rsidRDefault="00000000" w:rsidRPr="00000000" w14:paraId="00000021">
      <w:pPr>
        <w:numPr>
          <w:ilvl w:val="0"/>
          <w:numId w:val="5"/>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Strengthening the role and visibility of the </w:t>
      </w:r>
      <w:r w:rsidDel="00000000" w:rsidR="00000000" w:rsidRPr="00000000">
        <w:rPr>
          <w:rFonts w:ascii="Roboto" w:cs="Roboto" w:eastAsia="Roboto" w:hAnsi="Roboto"/>
          <w:b w:val="1"/>
          <w:bCs w:val="1"/>
          <w:rtl w:val="0"/>
        </w:rPr>
        <w:t xml:space="preserve">Bamako Convention National Focal Point</w:t>
      </w:r>
      <w:r w:rsidDel="00000000" w:rsidR="00000000" w:rsidRPr="00000000">
        <w:rPr>
          <w:rtl w:val="0"/>
        </w:rPr>
      </w:r>
    </w:p>
    <w:p w:rsidR="00000000" w:rsidDel="00000000" w:rsidP="00000000" w:rsidRDefault="00000000" w:rsidRPr="00000000" w14:paraId="00000022">
      <w:pPr>
        <w:numPr>
          <w:ilvl w:val="0"/>
          <w:numId w:val="5"/>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Consolidating mining, customs, and environmental data into a single national reporting stream</w:t>
      </w:r>
    </w:p>
    <w:p w:rsidR="00000000" w:rsidDel="00000000" w:rsidP="00000000" w:rsidRDefault="00000000" w:rsidRPr="00000000" w14:paraId="00000023">
      <w:pPr>
        <w:numPr>
          <w:ilvl w:val="0"/>
          <w:numId w:val="5"/>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Documenting enforcement actions and mitigation measures as national case studies</w:t>
      </w:r>
    </w:p>
    <w:p w:rsidR="00000000" w:rsidDel="00000000" w:rsidP="00000000" w:rsidRDefault="00000000" w:rsidRPr="00000000" w14:paraId="00000024">
      <w:pPr>
        <w:numPr>
          <w:ilvl w:val="0"/>
          <w:numId w:val="5"/>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Submitting verified summaries to the Convention Secretariat to support regional learning</w:t>
      </w:r>
    </w:p>
    <w:p w:rsidR="00000000" w:rsidDel="00000000" w:rsidP="00000000" w:rsidRDefault="00000000" w:rsidRPr="00000000" w14:paraId="00000025">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What Other Countries Can Learn</w:t>
      </w:r>
    </w:p>
    <w:p w:rsidR="00000000" w:rsidDel="00000000" w:rsidP="00000000" w:rsidRDefault="00000000" w:rsidRPr="00000000" w14:paraId="00000026">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Mali demonstrates that:</w:t>
      </w:r>
    </w:p>
    <w:p w:rsidR="00000000" w:rsidDel="00000000" w:rsidP="00000000" w:rsidRDefault="00000000" w:rsidRPr="00000000" w14:paraId="00000027">
      <w:pPr>
        <w:numPr>
          <w:ilvl w:val="0"/>
          <w:numId w:val="6"/>
        </w:numPr>
        <w:spacing w:after="0" w:before="280" w:line="240" w:lineRule="auto"/>
        <w:ind w:left="720" w:hanging="360"/>
        <w:rPr>
          <w:rFonts w:ascii="Roboto" w:cs="Roboto" w:eastAsia="Roboto" w:hAnsi="Roboto"/>
        </w:rPr>
      </w:pPr>
      <w:r w:rsidDel="00000000" w:rsidR="00000000" w:rsidRPr="00000000">
        <w:rPr>
          <w:rFonts w:ascii="Roboto" w:cs="Roboto" w:eastAsia="Roboto" w:hAnsi="Roboto"/>
          <w:rtl w:val="0"/>
        </w:rPr>
        <w:t xml:space="preserve">Extractive economies require strong hazardous waste governance</w:t>
      </w:r>
    </w:p>
    <w:p w:rsidR="00000000" w:rsidDel="00000000" w:rsidP="00000000" w:rsidRDefault="00000000" w:rsidRPr="00000000" w14:paraId="00000028">
      <w:pPr>
        <w:numPr>
          <w:ilvl w:val="0"/>
          <w:numId w:val="6"/>
        </w:numPr>
        <w:spacing w:after="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Mining-related waste is central to Africa’s chemicals agenda</w:t>
      </w:r>
    </w:p>
    <w:p w:rsidR="00000000" w:rsidDel="00000000" w:rsidP="00000000" w:rsidRDefault="00000000" w:rsidRPr="00000000" w14:paraId="00000029">
      <w:pPr>
        <w:numPr>
          <w:ilvl w:val="0"/>
          <w:numId w:val="6"/>
        </w:numPr>
        <w:spacing w:after="280" w:before="0" w:line="240" w:lineRule="auto"/>
        <w:ind w:left="720" w:hanging="360"/>
        <w:rPr>
          <w:rFonts w:ascii="Roboto" w:cs="Roboto" w:eastAsia="Roboto" w:hAnsi="Roboto"/>
        </w:rPr>
      </w:pPr>
      <w:r w:rsidDel="00000000" w:rsidR="00000000" w:rsidRPr="00000000">
        <w:rPr>
          <w:rFonts w:ascii="Roboto" w:cs="Roboto" w:eastAsia="Roboto" w:hAnsi="Roboto"/>
          <w:rtl w:val="0"/>
        </w:rPr>
        <w:t xml:space="preserve">Preventive regulation is more effective than post-incident response</w:t>
      </w:r>
    </w:p>
    <w:p w:rsidR="00000000" w:rsidDel="00000000" w:rsidP="00000000" w:rsidRDefault="00000000" w:rsidRPr="00000000" w14:paraId="0000002A">
      <w:pPr>
        <w:spacing w:after="280" w:before="280" w:line="240" w:lineRule="auto"/>
        <w:rPr>
          <w:rFonts w:ascii="Roboto" w:cs="Roboto" w:eastAsia="Roboto" w:hAnsi="Roboto"/>
          <w:b w:val="1"/>
          <w:bCs w:val="1"/>
          <w:sz w:val="27"/>
          <w:szCs w:val="27"/>
        </w:rPr>
      </w:pPr>
      <w:r w:rsidDel="00000000" w:rsidR="00000000" w:rsidRPr="00000000">
        <w:rPr>
          <w:rFonts w:ascii="Roboto" w:cs="Roboto" w:eastAsia="Roboto" w:hAnsi="Roboto"/>
          <w:b w:val="1"/>
          <w:bCs w:val="1"/>
          <w:sz w:val="27"/>
          <w:szCs w:val="27"/>
          <w:rtl w:val="0"/>
        </w:rPr>
        <w:t xml:space="preserve">Contribution to the Bamako Convention’s Objectives</w:t>
      </w:r>
    </w:p>
    <w:p w:rsidR="00000000" w:rsidDel="00000000" w:rsidP="00000000" w:rsidRDefault="00000000" w:rsidRPr="00000000" w14:paraId="0000002B">
      <w:pPr>
        <w:spacing w:after="280" w:before="280" w:line="240" w:lineRule="auto"/>
        <w:rPr>
          <w:rFonts w:ascii="Roboto" w:cs="Roboto" w:eastAsia="Roboto" w:hAnsi="Roboto"/>
        </w:rPr>
      </w:pPr>
      <w:r w:rsidDel="00000000" w:rsidR="00000000" w:rsidRPr="00000000">
        <w:rPr>
          <w:rFonts w:ascii="Roboto" w:cs="Roboto" w:eastAsia="Roboto" w:hAnsi="Roboto"/>
          <w:rtl w:val="0"/>
        </w:rPr>
        <w:t xml:space="preserve">Through early ratification and regulation of mining-related hazardous waste, Mali contributes to the Convention’s preventive and control objectives. Enhanced reporting and structured data sharing would further strengthen collective African oversight of hazardous waste generation and movement.</w:t>
      </w:r>
    </w:p>
    <w:p w:rsidR="00000000" w:rsidDel="00000000" w:rsidP="00000000" w:rsidRDefault="00000000" w:rsidRPr="00000000" w14:paraId="0000002C">
      <w:pPr>
        <w:rPr/>
      </w:pPr>
      <w:r w:rsidDel="00000000" w:rsidR="00000000" w:rsidRPr="00000000">
        <w:rPr>
          <w:rtl w:val="0"/>
        </w:rPr>
      </w:r>
    </w:p>
    <w:sectPr>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ourier New"/>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Noto Sans Symbols">
    <w:embedRegular w:fontKey="{00000000-0000-0000-0000-000000000000}" r:id="rId7" w:subsetted="0"/>
    <w:embedBold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Heading7">
    <w:name w:val="heading 7"/>
    <w:basedOn w:val="Normal"/>
    <w:next w:val="Normal"/>
    <w:link w:val="Heading7Char"/>
    <w:uiPriority w:val="9"/>
    <w:semiHidden w:val="1"/>
    <w:unhideWhenUsed w:val="1"/>
    <w:qFormat w:val="1"/>
    <w:rsid w:val="002403BD"/>
    <w:pPr>
      <w:keepNext w:val="1"/>
      <w:keepLines w:val="1"/>
      <w:spacing w:after="0"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2403BD"/>
    <w:pPr>
      <w:keepNext w:val="1"/>
      <w:keepLines w:val="1"/>
      <w:spacing w:after="0"/>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2403BD"/>
    <w:pPr>
      <w:keepNext w:val="1"/>
      <w:keepLines w:val="1"/>
      <w:spacing w:after="0"/>
      <w:outlineLvl w:val="8"/>
    </w:pPr>
    <w:rPr>
      <w:rFonts w:cstheme="majorBidi" w:eastAsiaTheme="majorEastAsia"/>
      <w:color w:val="272727" w:themeColor="text1" w:themeTint="0000D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1Char" w:customStyle="1">
    <w:name w:val="Heading 1 Char"/>
    <w:basedOn w:val="DefaultParagraphFont"/>
    <w:link w:val="Heading1"/>
    <w:uiPriority w:val="9"/>
    <w:rsid w:val="002403B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2403B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2403B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2403B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2403B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2403B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2403B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2403B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2403BD"/>
    <w:rPr>
      <w:rFonts w:cstheme="majorBidi" w:eastAsiaTheme="majorEastAsia"/>
      <w:color w:val="272727" w:themeColor="text1" w:themeTint="0000D8"/>
    </w:rPr>
  </w:style>
  <w:style w:type="character" w:styleId="TitleChar" w:customStyle="1">
    <w:name w:val="Title Char"/>
    <w:basedOn w:val="DefaultParagraphFont"/>
    <w:link w:val="Title"/>
    <w:uiPriority w:val="10"/>
    <w:rsid w:val="002403BD"/>
    <w:rPr>
      <w:rFonts w:asciiTheme="majorHAnsi" w:cstheme="majorBidi" w:eastAsiaTheme="majorEastAsia" w:hAnsiTheme="majorHAnsi"/>
      <w:spacing w:val="-10"/>
      <w:kern w:val="28"/>
      <w:sz w:val="56"/>
      <w:szCs w:val="56"/>
    </w:rPr>
  </w:style>
  <w:style w:type="character" w:styleId="SubtitleChar" w:customStyle="1">
    <w:name w:val="Subtitle Char"/>
    <w:basedOn w:val="DefaultParagraphFont"/>
    <w:link w:val="Subtitle"/>
    <w:uiPriority w:val="11"/>
    <w:rsid w:val="002403B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2403B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2403BD"/>
    <w:rPr>
      <w:i w:val="1"/>
      <w:iCs w:val="1"/>
      <w:color w:val="404040" w:themeColor="text1" w:themeTint="0000BF"/>
    </w:rPr>
  </w:style>
  <w:style w:type="paragraph" w:styleId="ListParagraph">
    <w:name w:val="List Paragraph"/>
    <w:basedOn w:val="Normal"/>
    <w:uiPriority w:val="34"/>
    <w:qFormat w:val="1"/>
    <w:rsid w:val="002403BD"/>
    <w:pPr>
      <w:ind w:left="720"/>
      <w:contextualSpacing w:val="1"/>
    </w:pPr>
  </w:style>
  <w:style w:type="character" w:styleId="IntenseEmphasis">
    <w:name w:val="Intense Emphasis"/>
    <w:basedOn w:val="DefaultParagraphFont"/>
    <w:uiPriority w:val="21"/>
    <w:qFormat w:val="1"/>
    <w:rsid w:val="002403BD"/>
    <w:rPr>
      <w:i w:val="1"/>
      <w:iCs w:val="1"/>
      <w:color w:val="0f4761" w:themeColor="accent1" w:themeShade="0000BF"/>
    </w:rPr>
  </w:style>
  <w:style w:type="paragraph" w:styleId="IntenseQuote">
    <w:name w:val="Intense Quote"/>
    <w:basedOn w:val="Normal"/>
    <w:next w:val="Normal"/>
    <w:link w:val="IntenseQuoteChar"/>
    <w:uiPriority w:val="30"/>
    <w:qFormat w:val="1"/>
    <w:rsid w:val="002403B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2403BD"/>
    <w:rPr>
      <w:i w:val="1"/>
      <w:iCs w:val="1"/>
      <w:color w:val="0f4761" w:themeColor="accent1" w:themeShade="0000BF"/>
    </w:rPr>
  </w:style>
  <w:style w:type="character" w:styleId="IntenseReference">
    <w:name w:val="Intense Reference"/>
    <w:basedOn w:val="DefaultParagraphFont"/>
    <w:uiPriority w:val="32"/>
    <w:qFormat w:val="1"/>
    <w:rsid w:val="002403BD"/>
    <w:rPr>
      <w:b w:val="1"/>
      <w:bCs w:val="1"/>
      <w:smallCaps w:val="1"/>
      <w:color w:val="0f4761" w:themeColor="accent1" w:themeShade="0000BF"/>
      <w:spacing w:val="5"/>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amakoconvention.org/parties-to-the-convention/" TargetMode="External"/><Relationship Id="rId8" Type="http://schemas.openxmlformats.org/officeDocument/2006/relationships/hyperlink" Target="http://www.environnement.gouv.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NotoSansSymbols-regular.ttf"/><Relationship Id="rId8"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nh9Bc7rjhfIne4QzVvRgnxP2Jg==">CgMxLjA4AHIhMTdDLThzSjU0QzhLQUp3RFcwMXFkeE43eS10REFKQ2Ut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2025-12-30T16:41:00Z</dcterms:created>
  <dc:creator>Thomas Moore Ogola</dc:creator>
</cp:coreProperties>
</file>